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tabs>
          <w:tab w:val="left" w:leader="none" w:pos="7780"/>
        </w:tabs>
        <w:spacing w:after="0" w:line="200" w:lineRule="auto"/>
        <w:ind w:right="-20"/>
        <w:rPr>
          <w:rFonts w:ascii="Arial" w:cs="Arial" w:eastAsia="Arial" w:hAnsi="Arial"/>
          <w:color w:val="000000"/>
          <w:sz w:val="20"/>
          <w:szCs w:val="2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white"/>
          <w:rtl w:val="0"/>
        </w:rPr>
        <w:t xml:space="preserve">SAMC-003-2026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right"/>
        <w:rPr>
          <w:rFonts w:ascii="Arial Narrow" w:cs="Arial Narrow" w:eastAsia="Arial Narrow" w:hAnsi="Arial Narrow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ANEXO 4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ind w:firstLine="708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firstLine="708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ANEXO 4 — PACTO DE TRANSPARENCIA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 presente documento hace parte integral de los Documentos del Proceso y con la carta de presentación de la propuesta el Proponente se compromete a: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Cumplir estrictamente la Ley aplicable.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Interpretar de buena fe las normas aplicables a los Procesos de Contratación de manera que siempre produzcan los efectos buscados por las mismas.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No incurrir en faltas a la verdad o adulteración en los documentos o requisitos exigidos en el Proceso de Contratación.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Igualmente se acepta que, durante la evaluación de las propuestas del Proceso de Contratación, primen los aspectos de fondo por encima de la forma, buscando siempre favorecer la libre competencia.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Respetar el régimen de libre competencia económica, lo que implica no hacer acuerdos o arreglos previos, concomitantes o posteriores al Proceso de contratación con los encargados de planear el Proceso para tratar de conocer, influenciar o manipular información del proyecto, en favor propio o de un tercero, con el fin de direccionar el Proceso de Contratación y/o obtener ventajas al presentar la respectiva propuesta.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502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Respetar el régimen de libre competencia, lo que implica no realizar acuerdos o arreglos que tengan por objeto la colusión en el proceso de contratación o que tengan como efecto la distribución de adjudicaciones de contratos, distribución de concursos o fijación de términos de las propuestas. En general, no hacer acuerdos con el fin influenciar o manipular los resultados de la adjudicación.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Enviar por escrito a la Entidad todas las preguntas o inquietudes que surjan durante el Proceso de Contratación y no hacerlo de manera oral por ningún medio, salvo que se realicen dentro de las audiencias públicas.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No utilizar en la etapa de verificación y evaluación de las Propuestas, argumentos carentes de sustento probatorio para efectos de buscar la descalificación de competidores o la dilación del Proceso de selección.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En las audiencias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En las audiencias, abstenernos de proferir juicios de valor contra personas naturales o jurídicas, ni referirnos a asuntos personales de otros Proponentes. Por lo tanto, en las audiencias solamente debatiremos asuntos relacionados con el Proceso de Contratación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Solicitar o remitir a la Entidad, o a sus funcionarios y contratistas, cualquier información utilizando solamente los procesos y canales previstos en el Proceso de Contratación.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No contratar, ni ofrecer dádivas, regalos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La Entidad siempre se manifestará sobre las inquietudes relacionadas con el Proceso de selección por los canales definidos en los documentos del Proceso.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No contratar ni ofrecer dádivas, regalos,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40" w:lineRule="auto"/>
        <w:ind w:left="502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3884.0000000000005" w:type="dxa"/>
      <w:jc w:val="left"/>
      <w:tblBorders>
        <w:top w:color="000000" w:space="0" w:sz="4" w:val="dotted"/>
        <w:left w:color="000000" w:space="0" w:sz="4" w:val="dotted"/>
        <w:bottom w:color="000000" w:space="0" w:sz="4" w:val="dotted"/>
        <w:right w:color="000000" w:space="0" w:sz="4" w:val="dotted"/>
        <w:insideH w:color="000000" w:space="0" w:sz="4" w:val="dotted"/>
        <w:insideV w:color="000000" w:space="0" w:sz="4" w:val="dotted"/>
      </w:tblBorders>
      <w:tblLayout w:type="fixed"/>
      <w:tblLook w:val="0000"/>
    </w:tblPr>
    <w:tblGrid>
      <w:gridCol w:w="746"/>
      <w:gridCol w:w="1876"/>
      <w:gridCol w:w="964"/>
      <w:gridCol w:w="298"/>
      <w:tblGridChange w:id="0">
        <w:tblGrid>
          <w:gridCol w:w="746"/>
          <w:gridCol w:w="1876"/>
          <w:gridCol w:w="964"/>
          <w:gridCol w:w="298"/>
        </w:tblGrid>
      </w:tblGridChange>
    </w:tblGrid>
    <w:tr>
      <w:trPr>
        <w:cantSplit w:val="0"/>
        <w:trHeight w:val="220" w:hRule="atLeast"/>
        <w:tblHeader w:val="0"/>
      </w:trPr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2D">
          <w:pPr>
            <w:spacing w:after="4" w:line="246.99999999999994" w:lineRule="auto"/>
            <w:ind w:left="10" w:hanging="10"/>
            <w:rPr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sz w:val="16"/>
              <w:szCs w:val="16"/>
              <w:rtl w:val="0"/>
            </w:rPr>
            <w:t xml:space="preserve">Código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2E">
          <w:pPr>
            <w:spacing w:after="4" w:line="246.99999999999994" w:lineRule="auto"/>
            <w:ind w:left="10" w:hanging="10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  <w:rtl w:val="0"/>
            </w:rPr>
            <w:t xml:space="preserve">CCE-EICP-IDI-09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2F">
          <w:pPr>
            <w:spacing w:after="4" w:line="246.99999999999994" w:lineRule="auto"/>
            <w:ind w:left="10" w:hanging="10"/>
            <w:jc w:val="center"/>
            <w:rPr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30">
          <w:pPr>
            <w:spacing w:after="4" w:line="246.99999999999994" w:lineRule="auto"/>
            <w:ind w:left="10" w:hanging="10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  <w:rtl w:val="0"/>
            </w:rPr>
            <w:t xml:space="preserve">3</w:t>
          </w:r>
        </w:p>
      </w:tc>
    </w:tr>
  </w:tbl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1"/>
      <w:tblW w:w="8653.0" w:type="dxa"/>
      <w:jc w:val="center"/>
      <w:tblBorders>
        <w:top w:color="000000" w:space="0" w:sz="4" w:val="dotted"/>
        <w:left w:color="000000" w:space="0" w:sz="4" w:val="dotted"/>
        <w:bottom w:color="000000" w:space="0" w:sz="4" w:val="dotted"/>
        <w:right w:color="000000" w:space="0" w:sz="4" w:val="dotted"/>
        <w:insideH w:color="000000" w:space="0" w:sz="4" w:val="dotted"/>
        <w:insideV w:color="000000" w:space="0" w:sz="4" w:val="dotted"/>
      </w:tblBorders>
      <w:tblLayout w:type="fixed"/>
      <w:tblLook w:val="0000"/>
    </w:tblPr>
    <w:tblGrid>
      <w:gridCol w:w="1166"/>
      <w:gridCol w:w="4562"/>
      <w:gridCol w:w="933"/>
      <w:gridCol w:w="1992"/>
      <w:tblGridChange w:id="0">
        <w:tblGrid>
          <w:gridCol w:w="1166"/>
          <w:gridCol w:w="4562"/>
          <w:gridCol w:w="933"/>
          <w:gridCol w:w="1992"/>
        </w:tblGrid>
      </w:tblGridChange>
    </w:tblGrid>
    <w:tr>
      <w:trPr>
        <w:cantSplit w:val="0"/>
        <w:trHeight w:val="146" w:hRule="atLeast"/>
        <w:tblHeader w:val="0"/>
      </w:trPr>
      <w:tc>
        <w:tcPr>
          <w:gridSpan w:val="4"/>
          <w:shd w:fill="auto" w:val="clear"/>
          <w:vAlign w:val="center"/>
        </w:tcPr>
        <w:p w:rsidR="00000000" w:rsidDel="00000000" w:rsidP="00000000" w:rsidRDefault="00000000" w:rsidRPr="00000000" w14:paraId="0000001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ANEXO 4 – PACTO DE TRANSPARENCIA</w:t>
          </w:r>
        </w:p>
        <w:p w:rsidR="00000000" w:rsidDel="00000000" w:rsidP="00000000" w:rsidRDefault="00000000" w:rsidRPr="00000000" w14:paraId="0000001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SELECCIÓN ABREVIADA DE OBRA PÚBLICA DE INFRAESTRUCTURA DE TRANSPORTE (VERSIÓN 3) </w:t>
          </w:r>
        </w:p>
      </w:tc>
    </w:tr>
    <w:tr>
      <w:trPr>
        <w:cantSplit w:val="0"/>
        <w:trHeight w:val="234" w:hRule="atLeast"/>
        <w:tblHeader w:val="0"/>
      </w:trPr>
      <w:tc>
        <w:tcPr>
          <w:shd w:fill="auto" w:val="clear"/>
          <w:vAlign w:val="center"/>
        </w:tcPr>
        <w:p w:rsidR="00000000" w:rsidDel="00000000" w:rsidP="00000000" w:rsidRDefault="00000000" w:rsidRPr="00000000" w14:paraId="00000023">
          <w:pPr>
            <w:spacing w:after="4" w:line="249" w:lineRule="auto"/>
            <w:ind w:left="10" w:hanging="10"/>
            <w:rPr>
              <w:b w:val="1"/>
              <w:bCs w:val="1"/>
              <w:color w:val="000000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color w:val="000000"/>
              <w:sz w:val="18"/>
              <w:szCs w:val="18"/>
              <w:rtl w:val="0"/>
            </w:rPr>
            <w:t xml:space="preserve">Código</w:t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024">
          <w:pPr>
            <w:spacing w:after="4" w:line="249" w:lineRule="auto"/>
            <w:ind w:left="10" w:hanging="10"/>
            <w:rPr>
              <w:color w:val="000000"/>
              <w:sz w:val="16"/>
              <w:szCs w:val="16"/>
            </w:rPr>
          </w:pPr>
          <w:r w:rsidDel="00000000" w:rsidR="00000000" w:rsidRPr="00000000">
            <w:rPr>
              <w:color w:val="000000"/>
              <w:sz w:val="16"/>
              <w:szCs w:val="16"/>
              <w:rtl w:val="0"/>
            </w:rPr>
            <w:t xml:space="preserve">CCE-EICP-IDI-09</w:t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025">
          <w:pPr>
            <w:spacing w:after="4" w:line="249" w:lineRule="auto"/>
            <w:ind w:left="10" w:hanging="10"/>
            <w:jc w:val="center"/>
            <w:rPr>
              <w:b w:val="1"/>
              <w:bCs w:val="1"/>
              <w:color w:val="000000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color w:val="000000"/>
              <w:sz w:val="16"/>
              <w:szCs w:val="16"/>
              <w:rtl w:val="0"/>
            </w:rPr>
            <w:t xml:space="preserve">Página</w:t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026">
          <w:pPr>
            <w:spacing w:after="4" w:line="249" w:lineRule="auto"/>
            <w:ind w:left="10" w:hanging="10"/>
            <w:rPr>
              <w:color w:val="000000"/>
              <w:sz w:val="16"/>
              <w:szCs w:val="16"/>
            </w:rPr>
          </w:pPr>
          <w:r w:rsidDel="00000000" w:rsidR="00000000" w:rsidRPr="00000000">
            <w:rPr>
              <w:color w:val="000000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color w:val="000000"/>
              <w:sz w:val="16"/>
              <w:szCs w:val="16"/>
              <w:rtl w:val="0"/>
            </w:rPr>
            <w:t xml:space="preserve"> de </w:t>
          </w:r>
          <w:r w:rsidDel="00000000" w:rsidR="00000000" w:rsidRPr="00000000">
            <w:rPr>
              <w:color w:val="000000"/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73" w:hRule="atLeast"/>
        <w:tblHeader w:val="0"/>
      </w:trPr>
      <w:tc>
        <w:tcPr>
          <w:shd w:fill="auto" w:val="clear"/>
          <w:vAlign w:val="center"/>
        </w:tcPr>
        <w:p w:rsidR="00000000" w:rsidDel="00000000" w:rsidP="00000000" w:rsidRDefault="00000000" w:rsidRPr="00000000" w14:paraId="00000027">
          <w:pPr>
            <w:spacing w:after="4" w:line="249" w:lineRule="auto"/>
            <w:ind w:left="10" w:hanging="10"/>
            <w:rPr>
              <w:b w:val="1"/>
              <w:bCs w:val="1"/>
              <w:color w:val="000000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color w:val="000000"/>
              <w:sz w:val="18"/>
              <w:szCs w:val="18"/>
              <w:rtl w:val="0"/>
            </w:rPr>
            <w:t xml:space="preserve">Versión No.</w:t>
          </w:r>
        </w:p>
      </w:tc>
      <w:tc>
        <w:tcPr>
          <w:gridSpan w:val="3"/>
          <w:shd w:fill="auto" w:val="clear"/>
          <w:vAlign w:val="center"/>
        </w:tcPr>
        <w:p w:rsidR="00000000" w:rsidDel="00000000" w:rsidP="00000000" w:rsidRDefault="00000000" w:rsidRPr="00000000" w14:paraId="00000028">
          <w:pPr>
            <w:spacing w:after="4" w:line="249" w:lineRule="auto"/>
            <w:ind w:left="10" w:hanging="10"/>
            <w:rPr>
              <w:color w:val="000000"/>
              <w:sz w:val="16"/>
              <w:szCs w:val="16"/>
            </w:rPr>
          </w:pPr>
          <w:r w:rsidDel="00000000" w:rsidR="00000000" w:rsidRPr="00000000">
            <w:rPr>
              <w:color w:val="000000"/>
              <w:sz w:val="16"/>
              <w:szCs w:val="16"/>
              <w:rtl w:val="0"/>
            </w:rPr>
            <w:t xml:space="preserve">3</w:t>
          </w:r>
        </w:p>
      </w:tc>
    </w:tr>
  </w:tbl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Roman"/>
      <w:lvlText w:val="%1."/>
      <w:lvlJc w:val="right"/>
      <w:pPr>
        <w:ind w:left="502" w:hanging="360"/>
      </w:pPr>
      <w:rPr/>
    </w:lvl>
    <w:lvl w:ilvl="1">
      <w:start w:val="1"/>
      <w:numFmt w:val="lowerLetter"/>
      <w:lvlText w:val="%2."/>
      <w:lvlJc w:val="left"/>
      <w:pPr>
        <w:ind w:left="1156" w:hanging="360"/>
      </w:pPr>
      <w:rPr/>
    </w:lvl>
    <w:lvl w:ilvl="2">
      <w:start w:val="1"/>
      <w:numFmt w:val="lowerRoman"/>
      <w:lvlText w:val="%3."/>
      <w:lvlJc w:val="right"/>
      <w:pPr>
        <w:ind w:left="1876" w:hanging="180"/>
      </w:pPr>
      <w:rPr/>
    </w:lvl>
    <w:lvl w:ilvl="3">
      <w:start w:val="1"/>
      <w:numFmt w:val="decimal"/>
      <w:lvlText w:val="%4."/>
      <w:lvlJc w:val="left"/>
      <w:pPr>
        <w:ind w:left="2596" w:hanging="360"/>
      </w:pPr>
      <w:rPr/>
    </w:lvl>
    <w:lvl w:ilvl="4">
      <w:start w:val="1"/>
      <w:numFmt w:val="lowerLetter"/>
      <w:lvlText w:val="%5."/>
      <w:lvlJc w:val="left"/>
      <w:pPr>
        <w:ind w:left="3316" w:hanging="360"/>
      </w:pPr>
      <w:rPr/>
    </w:lvl>
    <w:lvl w:ilvl="5">
      <w:start w:val="1"/>
      <w:numFmt w:val="lowerRoman"/>
      <w:lvlText w:val="%6."/>
      <w:lvlJc w:val="right"/>
      <w:pPr>
        <w:ind w:left="4036" w:hanging="180"/>
      </w:pPr>
      <w:rPr/>
    </w:lvl>
    <w:lvl w:ilvl="6">
      <w:start w:val="1"/>
      <w:numFmt w:val="decimal"/>
      <w:lvlText w:val="%7."/>
      <w:lvlJc w:val="left"/>
      <w:pPr>
        <w:ind w:left="4756" w:hanging="360"/>
      </w:pPr>
      <w:rPr/>
    </w:lvl>
    <w:lvl w:ilvl="7">
      <w:start w:val="1"/>
      <w:numFmt w:val="lowerLetter"/>
      <w:lvlText w:val="%8."/>
      <w:lvlJc w:val="left"/>
      <w:pPr>
        <w:ind w:left="5476" w:hanging="360"/>
      </w:pPr>
      <w:rPr/>
    </w:lvl>
    <w:lvl w:ilvl="8">
      <w:start w:val="1"/>
      <w:numFmt w:val="lowerRoman"/>
      <w:lvlText w:val="%9."/>
      <w:lvlJc w:val="right"/>
      <w:pPr>
        <w:ind w:left="6196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D60C2A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D60C2A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D60C2A"/>
    <w:rPr>
      <w:b w:val="1"/>
      <w:bCs w:val="1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D60C2A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D60C2A"/>
    <w:rPr>
      <w:rFonts w:ascii="Segoe UI" w:cs="Segoe UI" w:hAnsi="Segoe UI"/>
      <w:sz w:val="18"/>
      <w:szCs w:val="18"/>
    </w:rPr>
  </w:style>
  <w:style w:type="paragraph" w:styleId="InviasNormal" w:customStyle="1">
    <w:name w:val="Invias Normal"/>
    <w:basedOn w:val="Normal"/>
    <w:link w:val="InviasNormalCar"/>
    <w:qFormat w:val="1"/>
    <w:rsid w:val="002B36E3"/>
    <w:pPr>
      <w:tabs>
        <w:tab w:val="left" w:pos="-142"/>
      </w:tabs>
      <w:autoSpaceDE w:val="0"/>
      <w:autoSpaceDN w:val="0"/>
      <w:adjustRightInd w:val="0"/>
      <w:spacing w:after="240" w:before="120" w:line="240" w:lineRule="auto"/>
      <w:jc w:val="both"/>
    </w:pPr>
    <w:rPr>
      <w:rFonts w:ascii="Arial" w:cs="Arial" w:eastAsia="Times New Roman" w:hAnsi="Arial"/>
      <w:szCs w:val="24"/>
      <w:lang w:eastAsia="es-ES"/>
    </w:rPr>
  </w:style>
  <w:style w:type="character" w:styleId="InviasNormalCar" w:customStyle="1">
    <w:name w:val="Invias Normal Car"/>
    <w:link w:val="InviasNormal"/>
    <w:rsid w:val="002B36E3"/>
    <w:rPr>
      <w:rFonts w:ascii="Arial" w:cs="Arial" w:eastAsia="Times New Roman" w:hAnsi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 w:val="1"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cs="Times New Roman" w:eastAsia="Times New Roman" w:hAnsi="Arial"/>
      <w:szCs w:val="24"/>
      <w:lang w:eastAsia="es-ES"/>
    </w:r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cs="Times New Roman" w:eastAsia="Times New Roman" w:hAnsi="Arial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 w:val="1"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6522CE"/>
  </w:style>
  <w:style w:type="table" w:styleId="Cuadrculadetablaclara1" w:customStyle="1">
    <w:name w:val="Cuadrícula de tabla clara1"/>
    <w:basedOn w:val="Tablanormal"/>
    <w:next w:val="Tablaconcuadrculaclara"/>
    <w:uiPriority w:val="99"/>
    <w:rsid w:val="00DB3D75"/>
    <w:pPr>
      <w:spacing w:after="0" w:line="240" w:lineRule="auto"/>
    </w:pPr>
    <w:rPr>
      <w:rFonts w:ascii="Calibri" w:cs="Times New Roman" w:eastAsia="Calibri" w:hAnsi="Calibri"/>
    </w:rPr>
    <w:tblPr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</w:style>
  <w:style w:type="table" w:styleId="Tablaconcuadrculaclara">
    <w:name w:val="Grid Table Light"/>
    <w:basedOn w:val="Tablanormal"/>
    <w:uiPriority w:val="40"/>
    <w:rsid w:val="00DB3D75"/>
    <w:pPr>
      <w:spacing w:after="0" w:line="240" w:lineRule="auto"/>
    </w:pPr>
    <w:tblPr>
      <w:tblBorders>
        <w:top w:color="bfbfbf" w:space="0" w:sz="4" w:themeColor="background1" w:themeShade="0000BF" w:val="single"/>
        <w:left w:color="bfbfbf" w:space="0" w:sz="4" w:themeColor="background1" w:themeShade="0000BF" w:val="single"/>
        <w:bottom w:color="bfbfbf" w:space="0" w:sz="4" w:themeColor="background1" w:themeShade="0000BF" w:val="single"/>
        <w:right w:color="bfbfbf" w:space="0" w:sz="4" w:themeColor="background1" w:themeShade="0000BF" w:val="single"/>
        <w:insideH w:color="bfbfbf" w:space="0" w:sz="4" w:themeColor="background1" w:themeShade="0000BF" w:val="single"/>
        <w:insideV w:color="bfbfbf" w:space="0" w:sz="4" w:themeColor="background1" w:themeShade="0000BF" w:val="single"/>
      </w:tblBorders>
    </w:tblPr>
  </w:style>
  <w:style w:type="paragraph" w:styleId="Prrafodelista">
    <w:name w:val="List Paragraph"/>
    <w:basedOn w:val="Normal"/>
    <w:uiPriority w:val="34"/>
    <w:qFormat w:val="1"/>
    <w:pPr>
      <w:ind w:left="720"/>
      <w:contextualSpacing w:val="1"/>
    </w:p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Bk685JMNvCL/Tpm8owTOM1CLVA==">CgMxLjA4AHIhMWZWU0FDVHNXR1Z0WFhQcWZjaUtGMVlhczNLV1lNdFJG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2022-08-01T21:29:00Z</dcterms:created>
  <dc:creator>Ana María Bonilla Prieto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2.29263E7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